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A10" w:rsidRPr="00F53E92" w:rsidRDefault="00237A10" w:rsidP="00BE3EE7">
      <w:pPr>
        <w:numPr>
          <w:ilvl w:val="0"/>
          <w:numId w:val="1"/>
        </w:numPr>
        <w:tabs>
          <w:tab w:val="clear" w:pos="720"/>
          <w:tab w:val="num" w:pos="360"/>
        </w:tabs>
        <w:spacing w:before="240"/>
        <w:ind w:left="360" w:hanging="357"/>
        <w:jc w:val="both"/>
        <w:rPr>
          <w:rFonts w:ascii="Arial" w:hAnsi="Arial" w:cs="Arial"/>
          <w:bCs/>
          <w:spacing w:val="-3"/>
          <w:sz w:val="22"/>
          <w:szCs w:val="22"/>
        </w:rPr>
      </w:pPr>
      <w:bookmarkStart w:id="0" w:name="_GoBack"/>
      <w:bookmarkEnd w:id="0"/>
      <w:r w:rsidRPr="00F53E92">
        <w:rPr>
          <w:rFonts w:ascii="Arial" w:hAnsi="Arial" w:cs="Arial"/>
          <w:bCs/>
          <w:spacing w:val="-3"/>
          <w:sz w:val="22"/>
          <w:szCs w:val="22"/>
        </w:rPr>
        <w:t xml:space="preserve">The Attorney-General is responsible for the administration of over </w:t>
      </w:r>
      <w:r w:rsidR="001159EB">
        <w:rPr>
          <w:rFonts w:ascii="Arial" w:hAnsi="Arial" w:cs="Arial"/>
          <w:bCs/>
          <w:spacing w:val="-3"/>
          <w:sz w:val="22"/>
          <w:szCs w:val="22"/>
        </w:rPr>
        <w:t>2</w:t>
      </w:r>
      <w:r w:rsidRPr="00F53E92">
        <w:rPr>
          <w:rFonts w:ascii="Arial" w:hAnsi="Arial" w:cs="Arial"/>
          <w:bCs/>
          <w:spacing w:val="-3"/>
          <w:sz w:val="22"/>
          <w:szCs w:val="22"/>
        </w:rPr>
        <w:t>00 statutes.  Periodically, these Acts are reviewed to identify amendments which are desirable for ensuring that the Acts continue to operate in the manner intended.</w:t>
      </w:r>
      <w:r w:rsidR="00BE3EE7">
        <w:rPr>
          <w:rFonts w:ascii="Arial" w:hAnsi="Arial" w:cs="Arial"/>
          <w:bCs/>
          <w:spacing w:val="-3"/>
          <w:sz w:val="22"/>
          <w:szCs w:val="22"/>
        </w:rPr>
        <w:t xml:space="preserve"> </w:t>
      </w:r>
      <w:r w:rsidRPr="00F53E92">
        <w:rPr>
          <w:rFonts w:ascii="Arial" w:hAnsi="Arial" w:cs="Arial"/>
          <w:bCs/>
          <w:spacing w:val="-3"/>
          <w:sz w:val="22"/>
          <w:szCs w:val="22"/>
        </w:rPr>
        <w:t xml:space="preserve"> Other amendments to legislation may be identified as a result of court or tribunal decisions or representations by administering agencies and stakeholders.  </w:t>
      </w:r>
    </w:p>
    <w:p w:rsidR="00237A10" w:rsidRPr="00237A10" w:rsidRDefault="00237A10" w:rsidP="00BE3EE7">
      <w:pPr>
        <w:numPr>
          <w:ilvl w:val="0"/>
          <w:numId w:val="1"/>
        </w:numPr>
        <w:tabs>
          <w:tab w:val="clear" w:pos="720"/>
          <w:tab w:val="num" w:pos="360"/>
        </w:tabs>
        <w:spacing w:before="240"/>
        <w:ind w:left="360" w:hanging="357"/>
        <w:jc w:val="both"/>
        <w:rPr>
          <w:rFonts w:ascii="Arial" w:hAnsi="Arial" w:cs="Arial"/>
          <w:bCs/>
          <w:spacing w:val="-3"/>
          <w:sz w:val="22"/>
          <w:szCs w:val="22"/>
        </w:rPr>
      </w:pPr>
      <w:r w:rsidRPr="00237A10">
        <w:rPr>
          <w:rFonts w:ascii="Arial" w:hAnsi="Arial" w:cs="Arial"/>
          <w:bCs/>
          <w:spacing w:val="-3"/>
          <w:sz w:val="22"/>
          <w:szCs w:val="22"/>
        </w:rPr>
        <w:t xml:space="preserve">The Justice and Other Legislation Amendment Bill 2013 proposes </w:t>
      </w:r>
      <w:r w:rsidR="00456C55">
        <w:rPr>
          <w:rFonts w:ascii="Arial" w:hAnsi="Arial" w:cs="Arial"/>
          <w:bCs/>
          <w:spacing w:val="-3"/>
          <w:sz w:val="22"/>
          <w:szCs w:val="22"/>
        </w:rPr>
        <w:t xml:space="preserve">miscellaneous </w:t>
      </w:r>
      <w:r w:rsidRPr="00237A10">
        <w:rPr>
          <w:rFonts w:ascii="Arial" w:hAnsi="Arial" w:cs="Arial"/>
          <w:bCs/>
          <w:spacing w:val="-3"/>
          <w:sz w:val="22"/>
          <w:szCs w:val="22"/>
        </w:rPr>
        <w:t xml:space="preserve">amendments to </w:t>
      </w:r>
      <w:r w:rsidR="00882C8D">
        <w:rPr>
          <w:rFonts w:ascii="Arial" w:hAnsi="Arial" w:cs="Arial"/>
          <w:bCs/>
          <w:spacing w:val="-3"/>
          <w:sz w:val="22"/>
          <w:szCs w:val="22"/>
        </w:rPr>
        <w:t>approximately</w:t>
      </w:r>
      <w:r w:rsidRPr="00237A10">
        <w:rPr>
          <w:rFonts w:ascii="Arial" w:hAnsi="Arial" w:cs="Arial"/>
          <w:bCs/>
          <w:spacing w:val="-3"/>
          <w:sz w:val="22"/>
          <w:szCs w:val="22"/>
        </w:rPr>
        <w:t xml:space="preserve"> </w:t>
      </w:r>
      <w:r w:rsidRPr="00D51702">
        <w:rPr>
          <w:rFonts w:ascii="Arial" w:hAnsi="Arial" w:cs="Arial"/>
          <w:bCs/>
          <w:spacing w:val="-3"/>
          <w:sz w:val="22"/>
          <w:szCs w:val="22"/>
        </w:rPr>
        <w:t>30</w:t>
      </w:r>
      <w:r w:rsidRPr="00237A10">
        <w:rPr>
          <w:rFonts w:ascii="Arial" w:hAnsi="Arial" w:cs="Arial"/>
          <w:bCs/>
          <w:spacing w:val="-3"/>
          <w:sz w:val="22"/>
          <w:szCs w:val="22"/>
        </w:rPr>
        <w:t xml:space="preserve"> Acts administered by the Attorney-General and Minister for Justice, </w:t>
      </w:r>
      <w:r w:rsidR="0089767C">
        <w:rPr>
          <w:rFonts w:ascii="Arial" w:hAnsi="Arial" w:cs="Arial"/>
          <w:bCs/>
          <w:spacing w:val="-3"/>
          <w:sz w:val="22"/>
          <w:szCs w:val="22"/>
        </w:rPr>
        <w:t>including</w:t>
      </w:r>
      <w:r w:rsidRPr="00237A10">
        <w:rPr>
          <w:rFonts w:ascii="Arial" w:hAnsi="Arial" w:cs="Arial"/>
          <w:bCs/>
          <w:spacing w:val="-3"/>
          <w:sz w:val="22"/>
          <w:szCs w:val="22"/>
        </w:rPr>
        <w:t xml:space="preserve"> to</w:t>
      </w:r>
      <w:r w:rsidR="00BE3EE7">
        <w:rPr>
          <w:rFonts w:ascii="Arial" w:hAnsi="Arial" w:cs="Arial"/>
          <w:bCs/>
          <w:spacing w:val="-3"/>
          <w:sz w:val="22"/>
          <w:szCs w:val="22"/>
        </w:rPr>
        <w:t xml:space="preserve"> amend</w:t>
      </w:r>
      <w:r w:rsidRPr="00237A10">
        <w:rPr>
          <w:rFonts w:ascii="Arial" w:hAnsi="Arial" w:cs="Arial"/>
          <w:bCs/>
          <w:spacing w:val="-3"/>
          <w:sz w:val="22"/>
          <w:szCs w:val="22"/>
        </w:rPr>
        <w:t>:</w:t>
      </w:r>
    </w:p>
    <w:p w:rsidR="00237A10" w:rsidRDefault="00237A10" w:rsidP="00BE3EE7">
      <w:pPr>
        <w:keepLines/>
        <w:numPr>
          <w:ilvl w:val="0"/>
          <w:numId w:val="6"/>
        </w:numPr>
        <w:tabs>
          <w:tab w:val="clear" w:pos="366"/>
        </w:tabs>
        <w:spacing w:before="120"/>
        <w:ind w:left="720" w:hanging="357"/>
        <w:jc w:val="both"/>
        <w:rPr>
          <w:rFonts w:ascii="Arial" w:hAnsi="Arial" w:cs="Arial"/>
          <w:iCs/>
          <w:sz w:val="23"/>
          <w:szCs w:val="23"/>
        </w:rPr>
      </w:pPr>
      <w:r w:rsidRPr="003F61DF">
        <w:rPr>
          <w:rFonts w:ascii="Arial" w:hAnsi="Arial" w:cs="Arial"/>
          <w:iCs/>
          <w:sz w:val="23"/>
          <w:szCs w:val="23"/>
        </w:rPr>
        <w:t xml:space="preserve">the </w:t>
      </w:r>
      <w:r w:rsidRPr="003F61DF">
        <w:rPr>
          <w:rFonts w:ascii="Arial" w:hAnsi="Arial" w:cs="Arial"/>
          <w:i/>
          <w:iCs/>
          <w:sz w:val="23"/>
          <w:szCs w:val="23"/>
        </w:rPr>
        <w:t>Anti-Discrimination Act 1991</w:t>
      </w:r>
      <w:r w:rsidRPr="003F61DF">
        <w:rPr>
          <w:rFonts w:ascii="Arial" w:hAnsi="Arial" w:cs="Arial"/>
          <w:iCs/>
          <w:sz w:val="23"/>
          <w:szCs w:val="23"/>
        </w:rPr>
        <w:t xml:space="preserve">, </w:t>
      </w:r>
      <w:r w:rsidRPr="003F61DF">
        <w:rPr>
          <w:rFonts w:ascii="Arial" w:hAnsi="Arial" w:cs="Arial"/>
          <w:i/>
          <w:iCs/>
          <w:sz w:val="23"/>
          <w:szCs w:val="23"/>
        </w:rPr>
        <w:t>Coroners Act 2003</w:t>
      </w:r>
      <w:r w:rsidRPr="003F61DF">
        <w:rPr>
          <w:rFonts w:ascii="Arial" w:hAnsi="Arial" w:cs="Arial"/>
          <w:iCs/>
          <w:sz w:val="23"/>
          <w:szCs w:val="23"/>
        </w:rPr>
        <w:t xml:space="preserve">, </w:t>
      </w:r>
      <w:r w:rsidRPr="003F61DF">
        <w:rPr>
          <w:rFonts w:ascii="Arial" w:hAnsi="Arial" w:cs="Arial"/>
          <w:i/>
          <w:iCs/>
          <w:sz w:val="23"/>
          <w:szCs w:val="23"/>
        </w:rPr>
        <w:t>District Court of Queensland Act 1967</w:t>
      </w:r>
      <w:r w:rsidRPr="003F61DF">
        <w:rPr>
          <w:rFonts w:ascii="Arial" w:hAnsi="Arial" w:cs="Arial"/>
          <w:iCs/>
          <w:sz w:val="23"/>
          <w:szCs w:val="23"/>
        </w:rPr>
        <w:t xml:space="preserve">, </w:t>
      </w:r>
      <w:r w:rsidRPr="003F61DF">
        <w:rPr>
          <w:rFonts w:ascii="Arial" w:hAnsi="Arial" w:cs="Arial"/>
          <w:i/>
          <w:iCs/>
          <w:sz w:val="23"/>
          <w:szCs w:val="23"/>
        </w:rPr>
        <w:t>Justices of the Peace and Commissioners for Declarations Act 1991</w:t>
      </w:r>
      <w:r w:rsidRPr="003F61DF">
        <w:rPr>
          <w:rFonts w:ascii="Arial" w:hAnsi="Arial" w:cs="Arial"/>
          <w:iCs/>
          <w:sz w:val="23"/>
          <w:szCs w:val="23"/>
        </w:rPr>
        <w:t xml:space="preserve">, </w:t>
      </w:r>
      <w:r w:rsidRPr="003F61DF">
        <w:rPr>
          <w:rFonts w:ascii="Arial" w:hAnsi="Arial" w:cs="Arial"/>
          <w:i/>
          <w:iCs/>
          <w:sz w:val="23"/>
          <w:szCs w:val="23"/>
        </w:rPr>
        <w:t>Land Court Act 2000</w:t>
      </w:r>
      <w:r w:rsidRPr="003F61DF">
        <w:rPr>
          <w:rFonts w:ascii="Arial" w:hAnsi="Arial" w:cs="Arial"/>
          <w:iCs/>
          <w:sz w:val="23"/>
          <w:szCs w:val="23"/>
        </w:rPr>
        <w:t xml:space="preserve">, </w:t>
      </w:r>
      <w:r w:rsidRPr="003F61DF">
        <w:rPr>
          <w:rFonts w:ascii="Arial" w:hAnsi="Arial" w:cs="Arial"/>
          <w:i/>
          <w:iCs/>
          <w:sz w:val="23"/>
          <w:szCs w:val="23"/>
        </w:rPr>
        <w:t>Magistrates Act 1991</w:t>
      </w:r>
      <w:r w:rsidRPr="003F61DF">
        <w:rPr>
          <w:rFonts w:ascii="Arial" w:hAnsi="Arial" w:cs="Arial"/>
          <w:iCs/>
          <w:sz w:val="23"/>
          <w:szCs w:val="23"/>
        </w:rPr>
        <w:t xml:space="preserve">, </w:t>
      </w:r>
      <w:r w:rsidRPr="003F61DF">
        <w:rPr>
          <w:rFonts w:ascii="Arial" w:hAnsi="Arial" w:cs="Arial"/>
          <w:i/>
          <w:iCs/>
          <w:sz w:val="23"/>
          <w:szCs w:val="23"/>
        </w:rPr>
        <w:t>Queensland Civil and Administrative Tribunal Act 2009</w:t>
      </w:r>
      <w:r w:rsidRPr="003F61DF">
        <w:rPr>
          <w:rFonts w:ascii="Arial" w:hAnsi="Arial" w:cs="Arial"/>
          <w:iCs/>
          <w:sz w:val="23"/>
          <w:szCs w:val="23"/>
        </w:rPr>
        <w:t xml:space="preserve"> and </w:t>
      </w:r>
      <w:r w:rsidRPr="003F61DF">
        <w:rPr>
          <w:rFonts w:ascii="Arial" w:hAnsi="Arial" w:cs="Arial"/>
          <w:i/>
          <w:iCs/>
          <w:sz w:val="23"/>
          <w:szCs w:val="23"/>
        </w:rPr>
        <w:t>Supreme Court of Queensland Act 1991</w:t>
      </w:r>
      <w:r w:rsidRPr="003F61DF">
        <w:rPr>
          <w:rFonts w:ascii="Arial" w:hAnsi="Arial" w:cs="Arial"/>
          <w:iCs/>
          <w:sz w:val="23"/>
          <w:szCs w:val="23"/>
        </w:rPr>
        <w:t xml:space="preserve"> to clarify and improve provisions concerning the operation of various commission, court, tribunal and registry processes;</w:t>
      </w:r>
    </w:p>
    <w:p w:rsidR="005B4FF6" w:rsidRPr="003F61DF" w:rsidRDefault="005B4FF6" w:rsidP="00BE3EE7">
      <w:pPr>
        <w:keepLines/>
        <w:numPr>
          <w:ilvl w:val="0"/>
          <w:numId w:val="6"/>
        </w:numPr>
        <w:tabs>
          <w:tab w:val="clear" w:pos="366"/>
        </w:tabs>
        <w:spacing w:before="120"/>
        <w:ind w:left="720" w:hanging="357"/>
        <w:jc w:val="both"/>
        <w:rPr>
          <w:rFonts w:ascii="Arial" w:hAnsi="Arial" w:cs="Arial"/>
          <w:iCs/>
          <w:sz w:val="23"/>
          <w:szCs w:val="23"/>
        </w:rPr>
      </w:pPr>
      <w:r>
        <w:rPr>
          <w:rFonts w:ascii="Arial" w:hAnsi="Arial" w:cs="Arial"/>
          <w:iCs/>
          <w:sz w:val="23"/>
          <w:szCs w:val="23"/>
        </w:rPr>
        <w:t xml:space="preserve">the </w:t>
      </w:r>
      <w:r w:rsidRPr="00A159B8">
        <w:rPr>
          <w:rFonts w:ascii="Arial" w:hAnsi="Arial" w:cs="Arial"/>
          <w:i/>
          <w:iCs/>
          <w:sz w:val="23"/>
          <w:szCs w:val="23"/>
        </w:rPr>
        <w:t>Magistrates Court Act 1921</w:t>
      </w:r>
      <w:r>
        <w:rPr>
          <w:rFonts w:ascii="Arial" w:hAnsi="Arial" w:cs="Arial"/>
          <w:iCs/>
          <w:sz w:val="23"/>
          <w:szCs w:val="23"/>
        </w:rPr>
        <w:t xml:space="preserve"> to provide authority to create stand-alone rules of court for proceedings under the </w:t>
      </w:r>
      <w:r w:rsidRPr="00A159B8">
        <w:rPr>
          <w:rFonts w:ascii="Arial" w:hAnsi="Arial" w:cs="Arial"/>
          <w:i/>
          <w:iCs/>
          <w:sz w:val="23"/>
          <w:szCs w:val="23"/>
        </w:rPr>
        <w:t>Domestic and Family Violence Protection Act 2012</w:t>
      </w:r>
      <w:r>
        <w:rPr>
          <w:rFonts w:ascii="Arial" w:hAnsi="Arial" w:cs="Arial"/>
          <w:iCs/>
          <w:sz w:val="23"/>
          <w:szCs w:val="23"/>
        </w:rPr>
        <w:t xml:space="preserve">; </w:t>
      </w:r>
    </w:p>
    <w:p w:rsidR="00237A10" w:rsidRPr="003F61DF" w:rsidRDefault="00237A10" w:rsidP="00BE3EE7">
      <w:pPr>
        <w:keepLines/>
        <w:numPr>
          <w:ilvl w:val="0"/>
          <w:numId w:val="6"/>
        </w:numPr>
        <w:tabs>
          <w:tab w:val="clear" w:pos="366"/>
        </w:tabs>
        <w:spacing w:before="120"/>
        <w:ind w:left="720" w:hanging="357"/>
        <w:jc w:val="both"/>
        <w:rPr>
          <w:rFonts w:ascii="Arial" w:hAnsi="Arial" w:cs="Arial"/>
          <w:iCs/>
          <w:sz w:val="23"/>
          <w:szCs w:val="23"/>
        </w:rPr>
      </w:pPr>
      <w:r w:rsidRPr="003F61DF">
        <w:rPr>
          <w:rFonts w:ascii="Arial" w:hAnsi="Arial" w:cs="Arial"/>
          <w:iCs/>
          <w:sz w:val="23"/>
          <w:szCs w:val="23"/>
        </w:rPr>
        <w:t xml:space="preserve">the </w:t>
      </w:r>
      <w:r w:rsidRPr="003F61DF">
        <w:rPr>
          <w:rFonts w:ascii="Arial" w:hAnsi="Arial" w:cs="Arial"/>
          <w:i/>
          <w:iCs/>
          <w:sz w:val="23"/>
          <w:szCs w:val="23"/>
        </w:rPr>
        <w:t>Electronic Transactions (</w:t>
      </w:r>
      <w:smartTag w:uri="urn:schemas-microsoft-com:office:smarttags" w:element="State">
        <w:smartTag w:uri="urn:schemas-microsoft-com:office:smarttags" w:element="country-region">
          <w:r w:rsidRPr="003F61DF">
            <w:rPr>
              <w:rFonts w:ascii="Arial" w:hAnsi="Arial" w:cs="Arial"/>
              <w:i/>
              <w:iCs/>
              <w:sz w:val="23"/>
              <w:szCs w:val="23"/>
            </w:rPr>
            <w:t>Queensland</w:t>
          </w:r>
        </w:smartTag>
      </w:smartTag>
      <w:r w:rsidRPr="003F61DF">
        <w:rPr>
          <w:rFonts w:ascii="Arial" w:hAnsi="Arial" w:cs="Arial"/>
          <w:i/>
          <w:iCs/>
          <w:sz w:val="23"/>
          <w:szCs w:val="23"/>
        </w:rPr>
        <w:t>) Act 2001</w:t>
      </w:r>
      <w:r w:rsidRPr="003F61DF">
        <w:rPr>
          <w:rFonts w:ascii="Arial" w:hAnsi="Arial" w:cs="Arial"/>
          <w:iCs/>
          <w:sz w:val="23"/>
          <w:szCs w:val="23"/>
        </w:rPr>
        <w:t xml:space="preserve"> and </w:t>
      </w:r>
      <w:r w:rsidRPr="003F61DF">
        <w:rPr>
          <w:rFonts w:ascii="Arial" w:hAnsi="Arial" w:cs="Arial"/>
          <w:i/>
          <w:iCs/>
          <w:sz w:val="23"/>
          <w:szCs w:val="23"/>
        </w:rPr>
        <w:t>Succession Act 1981</w:t>
      </w:r>
      <w:r w:rsidRPr="003F61DF">
        <w:rPr>
          <w:rFonts w:ascii="Arial" w:hAnsi="Arial" w:cs="Arial"/>
          <w:iCs/>
          <w:sz w:val="23"/>
          <w:szCs w:val="23"/>
        </w:rPr>
        <w:t xml:space="preserve"> to implement model provisions to allow for accession to international conventions;</w:t>
      </w:r>
    </w:p>
    <w:p w:rsidR="00237A10" w:rsidRPr="003F61DF" w:rsidRDefault="00237A10" w:rsidP="00BE3EE7">
      <w:pPr>
        <w:keepLines/>
        <w:numPr>
          <w:ilvl w:val="0"/>
          <w:numId w:val="6"/>
        </w:numPr>
        <w:tabs>
          <w:tab w:val="clear" w:pos="366"/>
        </w:tabs>
        <w:spacing w:before="120"/>
        <w:ind w:left="720" w:hanging="357"/>
        <w:jc w:val="both"/>
        <w:rPr>
          <w:rFonts w:ascii="Arial" w:hAnsi="Arial" w:cs="Arial"/>
          <w:iCs/>
          <w:sz w:val="23"/>
          <w:szCs w:val="23"/>
        </w:rPr>
      </w:pPr>
      <w:r w:rsidRPr="003F61DF">
        <w:rPr>
          <w:rFonts w:ascii="Arial" w:hAnsi="Arial" w:cs="Arial"/>
          <w:iCs/>
          <w:sz w:val="23"/>
          <w:szCs w:val="23"/>
        </w:rPr>
        <w:t xml:space="preserve">the </w:t>
      </w:r>
      <w:r w:rsidRPr="003F61DF">
        <w:rPr>
          <w:rFonts w:ascii="Arial" w:hAnsi="Arial" w:cs="Arial"/>
          <w:i/>
          <w:iCs/>
          <w:sz w:val="23"/>
          <w:szCs w:val="23"/>
        </w:rPr>
        <w:t>Appeal Costs Fund Act 1973</w:t>
      </w:r>
      <w:r w:rsidRPr="003F61DF">
        <w:rPr>
          <w:rFonts w:ascii="Arial" w:hAnsi="Arial" w:cs="Arial"/>
          <w:iCs/>
          <w:sz w:val="23"/>
          <w:szCs w:val="23"/>
        </w:rPr>
        <w:t xml:space="preserve">, </w:t>
      </w:r>
      <w:r w:rsidRPr="003F61DF">
        <w:rPr>
          <w:rFonts w:ascii="Arial" w:hAnsi="Arial" w:cs="Arial"/>
          <w:i/>
          <w:iCs/>
          <w:sz w:val="23"/>
          <w:szCs w:val="23"/>
        </w:rPr>
        <w:t>Births, Deaths and Marriages Registration Act 2003</w:t>
      </w:r>
      <w:r w:rsidRPr="003F61DF">
        <w:rPr>
          <w:rFonts w:ascii="Arial" w:hAnsi="Arial" w:cs="Arial"/>
          <w:iCs/>
          <w:sz w:val="23"/>
          <w:szCs w:val="23"/>
        </w:rPr>
        <w:t xml:space="preserve">, </w:t>
      </w:r>
      <w:r w:rsidRPr="003F61DF">
        <w:rPr>
          <w:rFonts w:ascii="Arial" w:hAnsi="Arial" w:cs="Arial"/>
          <w:i/>
          <w:iCs/>
          <w:sz w:val="23"/>
          <w:szCs w:val="23"/>
        </w:rPr>
        <w:t>Dispute Resolution Centres Act 1990</w:t>
      </w:r>
      <w:r w:rsidRPr="003F61DF">
        <w:rPr>
          <w:rFonts w:ascii="Arial" w:hAnsi="Arial" w:cs="Arial"/>
          <w:iCs/>
          <w:sz w:val="23"/>
          <w:szCs w:val="23"/>
        </w:rPr>
        <w:t xml:space="preserve"> and </w:t>
      </w:r>
      <w:r w:rsidRPr="003F61DF">
        <w:rPr>
          <w:rFonts w:ascii="Arial" w:hAnsi="Arial" w:cs="Arial"/>
          <w:i/>
          <w:iCs/>
          <w:sz w:val="23"/>
          <w:szCs w:val="23"/>
        </w:rPr>
        <w:t>Guardianship and Administration Act 2000</w:t>
      </w:r>
      <w:r w:rsidRPr="003F61DF">
        <w:rPr>
          <w:rFonts w:ascii="Arial" w:hAnsi="Arial" w:cs="Arial"/>
          <w:iCs/>
          <w:sz w:val="23"/>
          <w:szCs w:val="23"/>
        </w:rPr>
        <w:t xml:space="preserve"> to implement red tape reduction measures concerning boards and the mechanisms for appointments;</w:t>
      </w:r>
    </w:p>
    <w:p w:rsidR="00237A10" w:rsidRPr="003F61DF" w:rsidRDefault="00237A10" w:rsidP="00BE3EE7">
      <w:pPr>
        <w:keepLines/>
        <w:numPr>
          <w:ilvl w:val="0"/>
          <w:numId w:val="6"/>
        </w:numPr>
        <w:tabs>
          <w:tab w:val="clear" w:pos="366"/>
        </w:tabs>
        <w:spacing w:before="120"/>
        <w:ind w:left="720" w:hanging="357"/>
        <w:jc w:val="both"/>
        <w:rPr>
          <w:rFonts w:ascii="Arial" w:hAnsi="Arial" w:cs="Arial"/>
          <w:iCs/>
          <w:sz w:val="23"/>
          <w:szCs w:val="23"/>
        </w:rPr>
      </w:pPr>
      <w:r w:rsidRPr="000026D9">
        <w:rPr>
          <w:rFonts w:ascii="Arial" w:hAnsi="Arial" w:cs="Arial"/>
          <w:iCs/>
          <w:sz w:val="23"/>
          <w:szCs w:val="23"/>
        </w:rPr>
        <w:t xml:space="preserve">the </w:t>
      </w:r>
      <w:r w:rsidRPr="000026D9">
        <w:rPr>
          <w:rFonts w:ascii="Arial" w:hAnsi="Arial" w:cs="Arial"/>
          <w:i/>
          <w:iCs/>
          <w:sz w:val="23"/>
          <w:szCs w:val="23"/>
        </w:rPr>
        <w:t>Acts Interpretation Act 1954</w:t>
      </w:r>
      <w:r w:rsidRPr="000026D9">
        <w:rPr>
          <w:rFonts w:ascii="Arial" w:hAnsi="Arial" w:cs="Arial"/>
          <w:iCs/>
          <w:sz w:val="23"/>
          <w:szCs w:val="23"/>
        </w:rPr>
        <w:t xml:space="preserve">, </w:t>
      </w:r>
      <w:r w:rsidRPr="000026D9">
        <w:rPr>
          <w:rFonts w:ascii="Arial" w:hAnsi="Arial" w:cs="Arial"/>
          <w:i/>
          <w:iCs/>
          <w:sz w:val="23"/>
          <w:szCs w:val="23"/>
        </w:rPr>
        <w:t xml:space="preserve">Legal Aid </w:t>
      </w:r>
      <w:smartTag w:uri="urn:schemas-microsoft-com:office:smarttags" w:element="country-region">
        <w:smartTag w:uri="urn:schemas-microsoft-com:office:smarttags" w:element="State">
          <w:r w:rsidRPr="000026D9">
            <w:rPr>
              <w:rFonts w:ascii="Arial" w:hAnsi="Arial" w:cs="Arial"/>
              <w:i/>
              <w:iCs/>
              <w:sz w:val="23"/>
              <w:szCs w:val="23"/>
            </w:rPr>
            <w:t>Queensland</w:t>
          </w:r>
        </w:smartTag>
      </w:smartTag>
      <w:r w:rsidRPr="000026D9">
        <w:rPr>
          <w:rFonts w:ascii="Arial" w:hAnsi="Arial" w:cs="Arial"/>
          <w:i/>
          <w:iCs/>
          <w:sz w:val="23"/>
          <w:szCs w:val="23"/>
        </w:rPr>
        <w:t xml:space="preserve"> Act 1997</w:t>
      </w:r>
      <w:r w:rsidRPr="000026D9">
        <w:rPr>
          <w:rFonts w:ascii="Arial" w:hAnsi="Arial" w:cs="Arial"/>
          <w:iCs/>
          <w:sz w:val="23"/>
          <w:szCs w:val="23"/>
        </w:rPr>
        <w:t xml:space="preserve">, </w:t>
      </w:r>
      <w:r w:rsidR="000026D9" w:rsidRPr="000026D9">
        <w:rPr>
          <w:rFonts w:ascii="Arial" w:hAnsi="Arial" w:cs="Arial"/>
          <w:i/>
          <w:iCs/>
          <w:sz w:val="23"/>
          <w:szCs w:val="23"/>
        </w:rPr>
        <w:t>Legal Profession Act 2007</w:t>
      </w:r>
      <w:r w:rsidR="000026D9">
        <w:rPr>
          <w:rFonts w:ascii="Arial" w:hAnsi="Arial" w:cs="Arial"/>
          <w:iCs/>
          <w:sz w:val="23"/>
          <w:szCs w:val="23"/>
        </w:rPr>
        <w:t xml:space="preserve">, </w:t>
      </w:r>
      <w:r w:rsidR="000026D9" w:rsidRPr="000026D9">
        <w:rPr>
          <w:rFonts w:ascii="Arial" w:hAnsi="Arial" w:cs="Arial"/>
          <w:i/>
          <w:iCs/>
          <w:sz w:val="23"/>
          <w:szCs w:val="23"/>
        </w:rPr>
        <w:t>Recording of Evidence Act 1962</w:t>
      </w:r>
      <w:r w:rsidR="000026D9">
        <w:rPr>
          <w:rFonts w:ascii="Arial" w:hAnsi="Arial" w:cs="Arial"/>
          <w:iCs/>
          <w:sz w:val="23"/>
          <w:szCs w:val="23"/>
        </w:rPr>
        <w:t xml:space="preserve">, </w:t>
      </w:r>
      <w:r w:rsidR="00BE3EE7">
        <w:rPr>
          <w:rFonts w:ascii="Arial" w:hAnsi="Arial" w:cs="Arial"/>
          <w:iCs/>
          <w:sz w:val="23"/>
          <w:szCs w:val="23"/>
        </w:rPr>
        <w:t>and</w:t>
      </w:r>
      <w:r w:rsidR="000026D9">
        <w:rPr>
          <w:rFonts w:ascii="Arial" w:hAnsi="Arial" w:cs="Arial"/>
          <w:iCs/>
          <w:sz w:val="23"/>
          <w:szCs w:val="23"/>
        </w:rPr>
        <w:t xml:space="preserve"> </w:t>
      </w:r>
      <w:r w:rsidR="000026D9" w:rsidRPr="000026D9">
        <w:rPr>
          <w:rFonts w:ascii="Arial" w:hAnsi="Arial" w:cs="Arial"/>
          <w:i/>
          <w:iCs/>
          <w:sz w:val="23"/>
          <w:szCs w:val="23"/>
        </w:rPr>
        <w:t>Trusts Act 1973</w:t>
      </w:r>
      <w:r w:rsidR="000026D9">
        <w:rPr>
          <w:rFonts w:ascii="Arial" w:hAnsi="Arial" w:cs="Arial"/>
          <w:iCs/>
          <w:sz w:val="23"/>
          <w:szCs w:val="23"/>
        </w:rPr>
        <w:t xml:space="preserve"> </w:t>
      </w:r>
      <w:r w:rsidRPr="003F61DF">
        <w:rPr>
          <w:rFonts w:ascii="Arial" w:hAnsi="Arial" w:cs="Arial"/>
          <w:iCs/>
          <w:sz w:val="23"/>
          <w:szCs w:val="23"/>
        </w:rPr>
        <w:t>to update or clarify definitions and references</w:t>
      </w:r>
      <w:r w:rsidR="000026D9">
        <w:rPr>
          <w:rFonts w:ascii="Arial" w:hAnsi="Arial" w:cs="Arial"/>
          <w:iCs/>
          <w:sz w:val="23"/>
          <w:szCs w:val="23"/>
        </w:rPr>
        <w:t xml:space="preserve"> or make technical amendments</w:t>
      </w:r>
      <w:r w:rsidR="00BE3EE7">
        <w:rPr>
          <w:rFonts w:ascii="Arial" w:hAnsi="Arial" w:cs="Arial"/>
          <w:iCs/>
          <w:sz w:val="23"/>
          <w:szCs w:val="23"/>
        </w:rPr>
        <w:t xml:space="preserve">; </w:t>
      </w:r>
      <w:r w:rsidRPr="003F61DF">
        <w:rPr>
          <w:rFonts w:ascii="Arial" w:hAnsi="Arial" w:cs="Arial"/>
          <w:iCs/>
          <w:sz w:val="23"/>
          <w:szCs w:val="23"/>
        </w:rPr>
        <w:t>and</w:t>
      </w:r>
    </w:p>
    <w:p w:rsidR="00237A10" w:rsidRDefault="00237A10" w:rsidP="00BE3EE7">
      <w:pPr>
        <w:keepLines/>
        <w:numPr>
          <w:ilvl w:val="0"/>
          <w:numId w:val="6"/>
        </w:numPr>
        <w:tabs>
          <w:tab w:val="clear" w:pos="366"/>
        </w:tabs>
        <w:spacing w:before="120"/>
        <w:ind w:left="720" w:hanging="357"/>
        <w:jc w:val="both"/>
        <w:rPr>
          <w:rFonts w:ascii="Arial" w:hAnsi="Arial" w:cs="Arial"/>
          <w:iCs/>
          <w:sz w:val="23"/>
          <w:szCs w:val="23"/>
        </w:rPr>
      </w:pPr>
      <w:r w:rsidRPr="003F61DF">
        <w:rPr>
          <w:rFonts w:ascii="Arial" w:hAnsi="Arial" w:cs="Arial"/>
          <w:iCs/>
          <w:sz w:val="23"/>
          <w:szCs w:val="23"/>
        </w:rPr>
        <w:t xml:space="preserve">the </w:t>
      </w:r>
      <w:r w:rsidRPr="003F61DF">
        <w:rPr>
          <w:rFonts w:ascii="Arial" w:hAnsi="Arial" w:cs="Arial"/>
          <w:i/>
          <w:iCs/>
          <w:sz w:val="23"/>
          <w:szCs w:val="23"/>
        </w:rPr>
        <w:t>Information Privacy Act 2009</w:t>
      </w:r>
      <w:r w:rsidRPr="003F61DF">
        <w:rPr>
          <w:rFonts w:ascii="Arial" w:hAnsi="Arial" w:cs="Arial"/>
          <w:iCs/>
          <w:sz w:val="23"/>
          <w:szCs w:val="23"/>
        </w:rPr>
        <w:t xml:space="preserve"> and </w:t>
      </w:r>
      <w:r w:rsidRPr="003F61DF">
        <w:rPr>
          <w:rFonts w:ascii="Arial" w:hAnsi="Arial" w:cs="Arial"/>
          <w:i/>
          <w:iCs/>
          <w:sz w:val="23"/>
          <w:szCs w:val="23"/>
        </w:rPr>
        <w:t>Right to Information Act 2009</w:t>
      </w:r>
      <w:r w:rsidRPr="003F61DF">
        <w:rPr>
          <w:rFonts w:ascii="Arial" w:hAnsi="Arial" w:cs="Arial"/>
          <w:iCs/>
          <w:sz w:val="23"/>
          <w:szCs w:val="23"/>
        </w:rPr>
        <w:t xml:space="preserve"> to clarify that the Information Commissioner may publish the name of declared vexatious applicants.</w:t>
      </w:r>
    </w:p>
    <w:p w:rsidR="005B4FF6" w:rsidRPr="005B4FF6" w:rsidRDefault="005B4FF6" w:rsidP="00BE3EE7">
      <w:pPr>
        <w:numPr>
          <w:ilvl w:val="0"/>
          <w:numId w:val="1"/>
        </w:numPr>
        <w:tabs>
          <w:tab w:val="clear" w:pos="720"/>
          <w:tab w:val="num" w:pos="360"/>
        </w:tabs>
        <w:spacing w:before="240"/>
        <w:ind w:left="360" w:hanging="357"/>
        <w:jc w:val="both"/>
        <w:rPr>
          <w:rFonts w:ascii="Arial" w:hAnsi="Arial" w:cs="Arial"/>
          <w:bCs/>
          <w:spacing w:val="-3"/>
          <w:sz w:val="22"/>
          <w:szCs w:val="22"/>
        </w:rPr>
      </w:pPr>
      <w:r w:rsidRPr="00237A10">
        <w:rPr>
          <w:rFonts w:ascii="Arial" w:hAnsi="Arial" w:cs="Arial"/>
          <w:bCs/>
          <w:spacing w:val="-3"/>
          <w:sz w:val="22"/>
          <w:szCs w:val="22"/>
        </w:rPr>
        <w:t xml:space="preserve">The Bill </w:t>
      </w:r>
      <w:r>
        <w:rPr>
          <w:rFonts w:ascii="Arial" w:hAnsi="Arial" w:cs="Arial"/>
          <w:bCs/>
          <w:spacing w:val="-3"/>
          <w:sz w:val="22"/>
          <w:szCs w:val="22"/>
        </w:rPr>
        <w:t xml:space="preserve">further </w:t>
      </w:r>
      <w:r w:rsidRPr="00237A10">
        <w:rPr>
          <w:rFonts w:ascii="Arial" w:hAnsi="Arial" w:cs="Arial"/>
          <w:bCs/>
          <w:spacing w:val="-3"/>
          <w:sz w:val="22"/>
          <w:szCs w:val="22"/>
        </w:rPr>
        <w:t>proposes</w:t>
      </w:r>
      <w:r>
        <w:rPr>
          <w:rFonts w:ascii="Arial" w:hAnsi="Arial" w:cs="Arial"/>
          <w:bCs/>
          <w:spacing w:val="-3"/>
          <w:sz w:val="22"/>
          <w:szCs w:val="22"/>
        </w:rPr>
        <w:t xml:space="preserve"> amendment to the </w:t>
      </w:r>
      <w:r w:rsidRPr="00A159B8">
        <w:rPr>
          <w:rFonts w:ascii="Arial" w:hAnsi="Arial" w:cs="Arial"/>
          <w:bCs/>
          <w:i/>
          <w:spacing w:val="-3"/>
          <w:sz w:val="22"/>
          <w:szCs w:val="22"/>
        </w:rPr>
        <w:t>Domestic and Family Violence Protection Act 2012</w:t>
      </w:r>
      <w:r>
        <w:rPr>
          <w:rFonts w:ascii="Arial" w:hAnsi="Arial" w:cs="Arial"/>
          <w:bCs/>
          <w:i/>
          <w:spacing w:val="-3"/>
          <w:sz w:val="22"/>
          <w:szCs w:val="22"/>
        </w:rPr>
        <w:t>,</w:t>
      </w:r>
      <w:r>
        <w:rPr>
          <w:rFonts w:ascii="Arial" w:hAnsi="Arial" w:cs="Arial"/>
          <w:bCs/>
          <w:spacing w:val="-3"/>
          <w:sz w:val="22"/>
          <w:szCs w:val="22"/>
        </w:rPr>
        <w:t xml:space="preserve"> which is administered by the Minister for Communities, Child Safety and Disability Services, to provide for the application of domestic and family violence protection rules of court to proceedings under the Act</w:t>
      </w:r>
      <w:r w:rsidR="002F35DD">
        <w:rPr>
          <w:rFonts w:ascii="Arial" w:hAnsi="Arial" w:cs="Arial"/>
          <w:bCs/>
          <w:spacing w:val="-3"/>
          <w:sz w:val="22"/>
          <w:szCs w:val="22"/>
        </w:rPr>
        <w:t xml:space="preserve"> and to resolve the current uncertainty regarding the enforcement of domestic violence orders when two orders exist </w:t>
      </w:r>
      <w:r w:rsidR="00BD1B8F">
        <w:rPr>
          <w:rFonts w:ascii="Arial" w:hAnsi="Arial" w:cs="Arial"/>
          <w:bCs/>
          <w:spacing w:val="-3"/>
          <w:sz w:val="22"/>
          <w:szCs w:val="22"/>
        </w:rPr>
        <w:t xml:space="preserve">at the same time </w:t>
      </w:r>
      <w:r w:rsidR="002F35DD">
        <w:rPr>
          <w:rFonts w:ascii="Arial" w:hAnsi="Arial" w:cs="Arial"/>
          <w:bCs/>
          <w:spacing w:val="-3"/>
          <w:sz w:val="22"/>
          <w:szCs w:val="22"/>
        </w:rPr>
        <w:t>in relation to the same parties.</w:t>
      </w:r>
    </w:p>
    <w:p w:rsidR="00237A10" w:rsidRPr="00CE6FBA" w:rsidRDefault="00237A10" w:rsidP="00BE3EE7">
      <w:pPr>
        <w:numPr>
          <w:ilvl w:val="0"/>
          <w:numId w:val="1"/>
        </w:numPr>
        <w:tabs>
          <w:tab w:val="clear" w:pos="720"/>
          <w:tab w:val="num" w:pos="360"/>
        </w:tabs>
        <w:spacing w:before="240"/>
        <w:ind w:left="360" w:hanging="357"/>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the introduction of the </w:t>
      </w:r>
      <w:r w:rsidR="00BE3EE7" w:rsidRPr="00BE3EE7">
        <w:rPr>
          <w:rFonts w:ascii="Arial" w:hAnsi="Arial" w:cs="Arial"/>
          <w:bCs/>
          <w:sz w:val="22"/>
          <w:szCs w:val="22"/>
        </w:rPr>
        <w:t xml:space="preserve">Justice and Other Legislation Amendment Bill 2013 </w:t>
      </w:r>
      <w:r>
        <w:rPr>
          <w:rFonts w:ascii="Arial" w:hAnsi="Arial" w:cs="Arial"/>
          <w:sz w:val="22"/>
          <w:szCs w:val="22"/>
        </w:rPr>
        <w:t xml:space="preserve">into the Legislative Assembly. </w:t>
      </w:r>
    </w:p>
    <w:p w:rsidR="00237A10" w:rsidRPr="00C07656" w:rsidRDefault="00237A10" w:rsidP="00BE3EE7">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C47B50" w:rsidRDefault="004E5628" w:rsidP="00357D55">
      <w:pPr>
        <w:numPr>
          <w:ilvl w:val="0"/>
          <w:numId w:val="2"/>
        </w:numPr>
        <w:spacing w:before="120"/>
        <w:ind w:left="811"/>
        <w:jc w:val="both"/>
        <w:rPr>
          <w:rFonts w:ascii="Arial" w:hAnsi="Arial" w:cs="Arial"/>
          <w:sz w:val="22"/>
          <w:szCs w:val="22"/>
        </w:rPr>
      </w:pPr>
      <w:hyperlink r:id="rId7" w:history="1">
        <w:r w:rsidR="00237A10" w:rsidRPr="001674B6">
          <w:rPr>
            <w:rStyle w:val="Hyperlink"/>
            <w:rFonts w:ascii="Arial" w:hAnsi="Arial" w:cs="Arial"/>
            <w:sz w:val="22"/>
            <w:szCs w:val="22"/>
          </w:rPr>
          <w:t>Justice and Other Legislation Amendment Bill 2013</w:t>
        </w:r>
      </w:hyperlink>
    </w:p>
    <w:p w:rsidR="00E973BC" w:rsidRPr="00D6589B" w:rsidRDefault="004E5628" w:rsidP="00357D55">
      <w:pPr>
        <w:numPr>
          <w:ilvl w:val="0"/>
          <w:numId w:val="2"/>
        </w:numPr>
        <w:spacing w:before="120"/>
        <w:ind w:left="811"/>
        <w:jc w:val="both"/>
      </w:pPr>
      <w:hyperlink r:id="rId8" w:history="1">
        <w:r w:rsidR="00237A10" w:rsidRPr="001674B6">
          <w:rPr>
            <w:rStyle w:val="Hyperlink"/>
            <w:rFonts w:ascii="Arial" w:hAnsi="Arial" w:cs="Arial"/>
            <w:sz w:val="22"/>
            <w:szCs w:val="22"/>
          </w:rPr>
          <w:t>Explanatory Notes</w:t>
        </w:r>
      </w:hyperlink>
    </w:p>
    <w:sectPr w:rsidR="00E973BC" w:rsidRPr="00D6589B" w:rsidSect="00BE3EE7">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793" w:rsidRDefault="001D1793" w:rsidP="00D6589B">
      <w:r>
        <w:separator/>
      </w:r>
    </w:p>
  </w:endnote>
  <w:endnote w:type="continuationSeparator" w:id="0">
    <w:p w:rsidR="001D1793" w:rsidRDefault="001D1793"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793" w:rsidRDefault="001D1793" w:rsidP="00D6589B">
      <w:r>
        <w:separator/>
      </w:r>
    </w:p>
  </w:footnote>
  <w:footnote w:type="continuationSeparator" w:id="0">
    <w:p w:rsidR="001D1793" w:rsidRDefault="001D1793"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D0" w:rsidRPr="00937A4A" w:rsidRDefault="001106D0" w:rsidP="001106D0">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1106D0" w:rsidRPr="00937A4A" w:rsidRDefault="001106D0" w:rsidP="001106D0">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1106D0" w:rsidRPr="00937A4A" w:rsidRDefault="001106D0" w:rsidP="001106D0">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357D55">
      <w:rPr>
        <w:rFonts w:ascii="Arial" w:hAnsi="Arial" w:cs="Arial"/>
        <w:b/>
        <w:color w:val="auto"/>
        <w:sz w:val="22"/>
        <w:szCs w:val="22"/>
        <w:lang w:eastAsia="en-US"/>
      </w:rPr>
      <w:t>June 2013</w:t>
    </w:r>
  </w:p>
  <w:p w:rsidR="00357D55" w:rsidRDefault="00357D55" w:rsidP="00357D55">
    <w:pPr>
      <w:pStyle w:val="Header"/>
      <w:spacing w:before="120"/>
      <w:rPr>
        <w:rFonts w:ascii="Arial" w:hAnsi="Arial" w:cs="Arial"/>
        <w:b/>
        <w:sz w:val="22"/>
        <w:szCs w:val="22"/>
        <w:u w:val="single"/>
      </w:rPr>
    </w:pPr>
    <w:r>
      <w:rPr>
        <w:rFonts w:ascii="Arial" w:hAnsi="Arial" w:cs="Arial"/>
        <w:b/>
        <w:sz w:val="22"/>
        <w:szCs w:val="22"/>
        <w:u w:val="single"/>
      </w:rPr>
      <w:t>Justice and Other Legislation Amendment Bill 2013</w:t>
    </w:r>
  </w:p>
  <w:p w:rsidR="00357D55" w:rsidRPr="003A13A1" w:rsidRDefault="00357D55" w:rsidP="00357D55">
    <w:pPr>
      <w:pStyle w:val="Header"/>
      <w:spacing w:before="120"/>
      <w:rPr>
        <w:rFonts w:ascii="Arial" w:hAnsi="Arial" w:cs="Arial"/>
        <w:sz w:val="22"/>
        <w:szCs w:val="22"/>
        <w:u w:val="single"/>
      </w:rPr>
    </w:pPr>
    <w:r>
      <w:rPr>
        <w:rFonts w:ascii="Arial" w:hAnsi="Arial" w:cs="Arial"/>
        <w:b/>
        <w:sz w:val="22"/>
        <w:szCs w:val="22"/>
        <w:u w:val="single"/>
      </w:rPr>
      <w:t>Attorney-General and Minister for Justice</w:t>
    </w:r>
  </w:p>
  <w:p w:rsidR="001106D0" w:rsidRDefault="001106D0" w:rsidP="00357D55">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72E34"/>
    <w:multiLevelType w:val="multilevel"/>
    <w:tmpl w:val="4BB6EB24"/>
    <w:styleLink w:val="cabinet"/>
    <w:lvl w:ilvl="0">
      <w:start w:val="1"/>
      <w:numFmt w:val="decimal"/>
      <w:pStyle w:val="StyleJustified"/>
      <w:lvlText w:val="%1."/>
      <w:lvlJc w:val="left"/>
      <w:pPr>
        <w:tabs>
          <w:tab w:val="num" w:pos="567"/>
        </w:tabs>
        <w:ind w:left="567" w:hanging="567"/>
      </w:pPr>
      <w:rPr>
        <w:rFonts w:cs="Times New Roman" w:hint="default"/>
        <w:spacing w:val="20"/>
        <w:position w:val="0"/>
      </w:rPr>
    </w:lvl>
    <w:lvl w:ilvl="1">
      <w:start w:val="1"/>
      <w:numFmt w:val="lowerLetter"/>
      <w:pStyle w:val="Cabinet2text"/>
      <w:lvlText w:val="(%2)"/>
      <w:lvlJc w:val="left"/>
      <w:pPr>
        <w:tabs>
          <w:tab w:val="num" w:pos="1021"/>
        </w:tabs>
        <w:ind w:left="1021" w:hanging="454"/>
      </w:pPr>
      <w:rPr>
        <w:rFonts w:cs="Times New Roman" w:hint="default"/>
      </w:rPr>
    </w:lvl>
    <w:lvl w:ilvl="2">
      <w:start w:val="1"/>
      <w:numFmt w:val="lowerRoman"/>
      <w:pStyle w:val="Cabinet3text"/>
      <w:lvlText w:val="(%3)"/>
      <w:lvlJc w:val="left"/>
      <w:pPr>
        <w:tabs>
          <w:tab w:val="num" w:pos="1474"/>
        </w:tabs>
        <w:ind w:left="1474" w:hanging="453"/>
      </w:pPr>
      <w:rPr>
        <w:rFonts w:cs="Times New Roman" w:hint="default"/>
      </w:rPr>
    </w:lvl>
    <w:lvl w:ilvl="3">
      <w:start w:val="1"/>
      <w:numFmt w:val="bullet"/>
      <w:pStyle w:val="Cabinet4text"/>
      <w:lvlText w:val=""/>
      <w:lvlJc w:val="left"/>
      <w:pPr>
        <w:tabs>
          <w:tab w:val="num" w:pos="1928"/>
        </w:tabs>
        <w:ind w:left="1928" w:hanging="454"/>
      </w:pPr>
      <w:rPr>
        <w:rFonts w:ascii="Symbol" w:hAnsi="Symbol" w:hint="default"/>
      </w:rPr>
    </w:lvl>
    <w:lvl w:ilvl="4">
      <w:start w:val="1"/>
      <w:numFmt w:val="bullet"/>
      <w:pStyle w:val="cabinet5text"/>
      <w:lvlText w:val="-"/>
      <w:lvlJc w:val="left"/>
      <w:pPr>
        <w:tabs>
          <w:tab w:val="num" w:pos="2381"/>
        </w:tabs>
        <w:ind w:left="2381" w:hanging="453"/>
      </w:pPr>
      <w:rPr>
        <w:rFonts w:ascii="Times New Roman" w:hAnsi="Times New Roman" w:hint="default"/>
      </w:rPr>
    </w:lvl>
    <w:lvl w:ilvl="5">
      <w:start w:val="1"/>
      <w:numFmt w:val="bullet"/>
      <w:lvlText w:val="-"/>
      <w:lvlJc w:val="left"/>
      <w:pPr>
        <w:tabs>
          <w:tab w:val="num" w:pos="2381"/>
        </w:tabs>
        <w:ind w:left="2381" w:hanging="453"/>
      </w:pPr>
      <w:rPr>
        <w:rFonts w:ascii="Times New Roman" w:hAnsi="Times New Roman" w:hint="default"/>
      </w:rPr>
    </w:lvl>
    <w:lvl w:ilvl="6">
      <w:start w:val="1"/>
      <w:numFmt w:val="bullet"/>
      <w:lvlText w:val="-"/>
      <w:lvlJc w:val="left"/>
      <w:pPr>
        <w:tabs>
          <w:tab w:val="num" w:pos="2381"/>
        </w:tabs>
        <w:ind w:left="2381" w:hanging="453"/>
      </w:pPr>
      <w:rPr>
        <w:rFonts w:ascii="Times New Roman" w:hAnsi="Times New Roman" w:hint="default"/>
      </w:rPr>
    </w:lvl>
    <w:lvl w:ilvl="7">
      <w:start w:val="1"/>
      <w:numFmt w:val="bullet"/>
      <w:lvlText w:val="-"/>
      <w:lvlJc w:val="left"/>
      <w:pPr>
        <w:tabs>
          <w:tab w:val="num" w:pos="2381"/>
        </w:tabs>
        <w:ind w:left="2381" w:hanging="453"/>
      </w:pPr>
      <w:rPr>
        <w:rFonts w:ascii="Times New Roman" w:hAnsi="Times New Roman" w:hint="default"/>
      </w:rPr>
    </w:lvl>
    <w:lvl w:ilvl="8">
      <w:start w:val="1"/>
      <w:numFmt w:val="bullet"/>
      <w:lvlText w:val="-"/>
      <w:lvlJc w:val="left"/>
      <w:pPr>
        <w:tabs>
          <w:tab w:val="num" w:pos="2381"/>
        </w:tabs>
        <w:ind w:left="2381" w:hanging="453"/>
      </w:pPr>
      <w:rPr>
        <w:rFonts w:ascii="Times New Roman" w:hAnsi="Times New Roman" w:hint="default"/>
      </w:rPr>
    </w:lvl>
  </w:abstractNum>
  <w:abstractNum w:abstractNumId="1" w15:restartNumberingAfterBreak="0">
    <w:nsid w:val="1AB01524"/>
    <w:multiLevelType w:val="hybridMultilevel"/>
    <w:tmpl w:val="9AA2C4CA"/>
    <w:lvl w:ilvl="0" w:tplc="0C090001">
      <w:start w:val="1"/>
      <w:numFmt w:val="bullet"/>
      <w:lvlText w:val=""/>
      <w:lvlJc w:val="left"/>
      <w:pPr>
        <w:tabs>
          <w:tab w:val="num" w:pos="360"/>
        </w:tabs>
        <w:ind w:left="360" w:hanging="360"/>
      </w:pPr>
      <w:rPr>
        <w:rFonts w:ascii="Symbol" w:hAnsi="Symbol" w:hint="default"/>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25683D19"/>
    <w:multiLevelType w:val="hybridMultilevel"/>
    <w:tmpl w:val="72D25C66"/>
    <w:lvl w:ilvl="0" w:tplc="3CC00A10">
      <w:start w:val="1"/>
      <w:numFmt w:val="decimal"/>
      <w:lvlText w:val="%1."/>
      <w:lvlJc w:val="left"/>
      <w:pPr>
        <w:tabs>
          <w:tab w:val="num" w:pos="502"/>
        </w:tabs>
        <w:ind w:left="502" w:hanging="360"/>
      </w:pPr>
      <w:rPr>
        <w:b w:val="0"/>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3B2F3E9B"/>
    <w:multiLevelType w:val="hybridMultilevel"/>
    <w:tmpl w:val="026E9770"/>
    <w:lvl w:ilvl="0" w:tplc="0C090001">
      <w:start w:val="1"/>
      <w:numFmt w:val="bullet"/>
      <w:lvlText w:val=""/>
      <w:lvlJc w:val="left"/>
      <w:pPr>
        <w:tabs>
          <w:tab w:val="num" w:pos="366"/>
        </w:tabs>
        <w:ind w:left="366" w:hanging="360"/>
      </w:pPr>
      <w:rPr>
        <w:rFonts w:ascii="Symbol" w:hAnsi="Symbol" w:hint="default"/>
      </w:rPr>
    </w:lvl>
    <w:lvl w:ilvl="1" w:tplc="0C090003" w:tentative="1">
      <w:start w:val="1"/>
      <w:numFmt w:val="bullet"/>
      <w:lvlText w:val="o"/>
      <w:lvlJc w:val="left"/>
      <w:pPr>
        <w:tabs>
          <w:tab w:val="num" w:pos="1086"/>
        </w:tabs>
        <w:ind w:left="1086" w:hanging="360"/>
      </w:pPr>
      <w:rPr>
        <w:rFonts w:ascii="Courier New" w:hAnsi="Courier New" w:cs="Courier New" w:hint="default"/>
      </w:rPr>
    </w:lvl>
    <w:lvl w:ilvl="2" w:tplc="0C090005" w:tentative="1">
      <w:start w:val="1"/>
      <w:numFmt w:val="bullet"/>
      <w:lvlText w:val=""/>
      <w:lvlJc w:val="left"/>
      <w:pPr>
        <w:tabs>
          <w:tab w:val="num" w:pos="1806"/>
        </w:tabs>
        <w:ind w:left="1806" w:hanging="360"/>
      </w:pPr>
      <w:rPr>
        <w:rFonts w:ascii="Wingdings" w:hAnsi="Wingdings" w:hint="default"/>
      </w:rPr>
    </w:lvl>
    <w:lvl w:ilvl="3" w:tplc="0C090001" w:tentative="1">
      <w:start w:val="1"/>
      <w:numFmt w:val="bullet"/>
      <w:lvlText w:val=""/>
      <w:lvlJc w:val="left"/>
      <w:pPr>
        <w:tabs>
          <w:tab w:val="num" w:pos="2526"/>
        </w:tabs>
        <w:ind w:left="2526" w:hanging="360"/>
      </w:pPr>
      <w:rPr>
        <w:rFonts w:ascii="Symbol" w:hAnsi="Symbol" w:hint="default"/>
      </w:rPr>
    </w:lvl>
    <w:lvl w:ilvl="4" w:tplc="0C090003" w:tentative="1">
      <w:start w:val="1"/>
      <w:numFmt w:val="bullet"/>
      <w:lvlText w:val="o"/>
      <w:lvlJc w:val="left"/>
      <w:pPr>
        <w:tabs>
          <w:tab w:val="num" w:pos="3246"/>
        </w:tabs>
        <w:ind w:left="3246" w:hanging="360"/>
      </w:pPr>
      <w:rPr>
        <w:rFonts w:ascii="Courier New" w:hAnsi="Courier New" w:cs="Courier New" w:hint="default"/>
      </w:rPr>
    </w:lvl>
    <w:lvl w:ilvl="5" w:tplc="0C090005" w:tentative="1">
      <w:start w:val="1"/>
      <w:numFmt w:val="bullet"/>
      <w:lvlText w:val=""/>
      <w:lvlJc w:val="left"/>
      <w:pPr>
        <w:tabs>
          <w:tab w:val="num" w:pos="3966"/>
        </w:tabs>
        <w:ind w:left="3966" w:hanging="360"/>
      </w:pPr>
      <w:rPr>
        <w:rFonts w:ascii="Wingdings" w:hAnsi="Wingdings" w:hint="default"/>
      </w:rPr>
    </w:lvl>
    <w:lvl w:ilvl="6" w:tplc="0C090001" w:tentative="1">
      <w:start w:val="1"/>
      <w:numFmt w:val="bullet"/>
      <w:lvlText w:val=""/>
      <w:lvlJc w:val="left"/>
      <w:pPr>
        <w:tabs>
          <w:tab w:val="num" w:pos="4686"/>
        </w:tabs>
        <w:ind w:left="4686" w:hanging="360"/>
      </w:pPr>
      <w:rPr>
        <w:rFonts w:ascii="Symbol" w:hAnsi="Symbol" w:hint="default"/>
      </w:rPr>
    </w:lvl>
    <w:lvl w:ilvl="7" w:tplc="0C090003" w:tentative="1">
      <w:start w:val="1"/>
      <w:numFmt w:val="bullet"/>
      <w:lvlText w:val="o"/>
      <w:lvlJc w:val="left"/>
      <w:pPr>
        <w:tabs>
          <w:tab w:val="num" w:pos="5406"/>
        </w:tabs>
        <w:ind w:left="5406" w:hanging="360"/>
      </w:pPr>
      <w:rPr>
        <w:rFonts w:ascii="Courier New" w:hAnsi="Courier New" w:cs="Courier New" w:hint="default"/>
      </w:rPr>
    </w:lvl>
    <w:lvl w:ilvl="8" w:tplc="0C090005" w:tentative="1">
      <w:start w:val="1"/>
      <w:numFmt w:val="bullet"/>
      <w:lvlText w:val=""/>
      <w:lvlJc w:val="left"/>
      <w:pPr>
        <w:tabs>
          <w:tab w:val="num" w:pos="6126"/>
        </w:tabs>
        <w:ind w:left="6126" w:hanging="360"/>
      </w:pPr>
      <w:rPr>
        <w:rFonts w:ascii="Wingdings" w:hAnsi="Wingdings" w:hint="default"/>
      </w:r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0"/>
    <w:lvlOverride w:ilvl="0">
      <w:lvl w:ilvl="0">
        <w:start w:val="1"/>
        <w:numFmt w:val="decimal"/>
        <w:pStyle w:val="StyleJustified"/>
        <w:lvlText w:val="%1."/>
        <w:lvlJc w:val="left"/>
        <w:pPr>
          <w:tabs>
            <w:tab w:val="num" w:pos="567"/>
          </w:tabs>
          <w:ind w:left="567" w:hanging="567"/>
        </w:pPr>
        <w:rPr>
          <w:rFonts w:cs="Times New Roman" w:hint="default"/>
          <w:color w:val="auto"/>
          <w:spacing w:val="20"/>
          <w:position w:val="0"/>
        </w:rPr>
      </w:lvl>
    </w:lvlOverride>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26D9"/>
    <w:rsid w:val="000430DD"/>
    <w:rsid w:val="00080F8F"/>
    <w:rsid w:val="0008575A"/>
    <w:rsid w:val="000F1FF6"/>
    <w:rsid w:val="00102858"/>
    <w:rsid w:val="001106D0"/>
    <w:rsid w:val="001159EB"/>
    <w:rsid w:val="001318FA"/>
    <w:rsid w:val="00140936"/>
    <w:rsid w:val="001674B6"/>
    <w:rsid w:val="00174117"/>
    <w:rsid w:val="001D1793"/>
    <w:rsid w:val="001E209B"/>
    <w:rsid w:val="001E7127"/>
    <w:rsid w:val="0021344B"/>
    <w:rsid w:val="00237A10"/>
    <w:rsid w:val="002C0AE4"/>
    <w:rsid w:val="002D0FF4"/>
    <w:rsid w:val="002D649F"/>
    <w:rsid w:val="002F35DD"/>
    <w:rsid w:val="00357D55"/>
    <w:rsid w:val="00393513"/>
    <w:rsid w:val="003A13A1"/>
    <w:rsid w:val="003A6497"/>
    <w:rsid w:val="003B5871"/>
    <w:rsid w:val="00456C55"/>
    <w:rsid w:val="00461D55"/>
    <w:rsid w:val="004947CB"/>
    <w:rsid w:val="004E3AE1"/>
    <w:rsid w:val="004E5628"/>
    <w:rsid w:val="00501C66"/>
    <w:rsid w:val="0050474C"/>
    <w:rsid w:val="00530C53"/>
    <w:rsid w:val="00536869"/>
    <w:rsid w:val="00550873"/>
    <w:rsid w:val="00556DD4"/>
    <w:rsid w:val="005B4FF6"/>
    <w:rsid w:val="00654B0A"/>
    <w:rsid w:val="006A2AC7"/>
    <w:rsid w:val="00731B56"/>
    <w:rsid w:val="00732E22"/>
    <w:rsid w:val="00757B12"/>
    <w:rsid w:val="00792BFD"/>
    <w:rsid w:val="007B52A9"/>
    <w:rsid w:val="00821E64"/>
    <w:rsid w:val="00861874"/>
    <w:rsid w:val="00882C8D"/>
    <w:rsid w:val="0089767C"/>
    <w:rsid w:val="008A4523"/>
    <w:rsid w:val="008F44CD"/>
    <w:rsid w:val="0093748E"/>
    <w:rsid w:val="009766C9"/>
    <w:rsid w:val="009A4C55"/>
    <w:rsid w:val="009C2A42"/>
    <w:rsid w:val="009F2792"/>
    <w:rsid w:val="00A159B8"/>
    <w:rsid w:val="00A527A5"/>
    <w:rsid w:val="00AD1B7B"/>
    <w:rsid w:val="00AD7250"/>
    <w:rsid w:val="00AE69F0"/>
    <w:rsid w:val="00BD1B8F"/>
    <w:rsid w:val="00BE3EE7"/>
    <w:rsid w:val="00C07656"/>
    <w:rsid w:val="00C37D84"/>
    <w:rsid w:val="00C40FB0"/>
    <w:rsid w:val="00C47B50"/>
    <w:rsid w:val="00C75E67"/>
    <w:rsid w:val="00C81869"/>
    <w:rsid w:val="00CB1501"/>
    <w:rsid w:val="00CE6FBA"/>
    <w:rsid w:val="00CF0D8A"/>
    <w:rsid w:val="00CF2DFA"/>
    <w:rsid w:val="00D47BCF"/>
    <w:rsid w:val="00D51702"/>
    <w:rsid w:val="00D62275"/>
    <w:rsid w:val="00D6589B"/>
    <w:rsid w:val="00D75134"/>
    <w:rsid w:val="00DB6FE7"/>
    <w:rsid w:val="00DE61EC"/>
    <w:rsid w:val="00E40004"/>
    <w:rsid w:val="00E973BC"/>
    <w:rsid w:val="00EB3612"/>
    <w:rsid w:val="00F06B92"/>
    <w:rsid w:val="00F10DF9"/>
    <w:rsid w:val="00F11935"/>
    <w:rsid w:val="00FC71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customStyle="1" w:styleId="Cabinet2text">
    <w:name w:val="Cabinet 2 text"/>
    <w:basedOn w:val="Normal"/>
    <w:rsid w:val="00237A10"/>
    <w:pPr>
      <w:numPr>
        <w:ilvl w:val="1"/>
        <w:numId w:val="3"/>
      </w:numPr>
      <w:spacing w:before="120"/>
      <w:jc w:val="both"/>
    </w:pPr>
    <w:rPr>
      <w:rFonts w:eastAsia="Times New Roman"/>
      <w:color w:val="auto"/>
    </w:rPr>
  </w:style>
  <w:style w:type="paragraph" w:customStyle="1" w:styleId="Cabinet3text">
    <w:name w:val="Cabinet 3 text"/>
    <w:basedOn w:val="Cabinet2text"/>
    <w:rsid w:val="00237A10"/>
    <w:pPr>
      <w:numPr>
        <w:ilvl w:val="2"/>
      </w:numPr>
    </w:pPr>
  </w:style>
  <w:style w:type="paragraph" w:customStyle="1" w:styleId="Cabinet4text">
    <w:name w:val="Cabinet 4 text"/>
    <w:basedOn w:val="Cabinet2text"/>
    <w:rsid w:val="00237A10"/>
    <w:pPr>
      <w:numPr>
        <w:ilvl w:val="3"/>
      </w:numPr>
    </w:pPr>
  </w:style>
  <w:style w:type="paragraph" w:customStyle="1" w:styleId="cabinet5text">
    <w:name w:val="cabinet 5 text"/>
    <w:basedOn w:val="Cabinet2text"/>
    <w:rsid w:val="00237A10"/>
    <w:pPr>
      <w:numPr>
        <w:ilvl w:val="4"/>
      </w:numPr>
    </w:pPr>
  </w:style>
  <w:style w:type="paragraph" w:customStyle="1" w:styleId="StyleJustified">
    <w:name w:val="Style Justified"/>
    <w:basedOn w:val="Normal"/>
    <w:rsid w:val="00237A10"/>
    <w:pPr>
      <w:numPr>
        <w:numId w:val="3"/>
      </w:numPr>
      <w:spacing w:before="240"/>
      <w:jc w:val="both"/>
    </w:pPr>
    <w:rPr>
      <w:rFonts w:eastAsia="Times New Roman"/>
      <w:color w:val="auto"/>
    </w:rPr>
  </w:style>
  <w:style w:type="numbering" w:customStyle="1" w:styleId="cabinet">
    <w:name w:val="cabinet"/>
    <w:rsid w:val="00237A10"/>
    <w:pPr>
      <w:numPr>
        <w:numId w:val="7"/>
      </w:numPr>
    </w:pPr>
  </w:style>
  <w:style w:type="character" w:styleId="CommentReference">
    <w:name w:val="annotation reference"/>
    <w:semiHidden/>
    <w:rsid w:val="00237A10"/>
    <w:rPr>
      <w:sz w:val="16"/>
      <w:szCs w:val="16"/>
    </w:rPr>
  </w:style>
  <w:style w:type="paragraph" w:styleId="CommentText">
    <w:name w:val="annotation text"/>
    <w:basedOn w:val="Normal"/>
    <w:semiHidden/>
    <w:rsid w:val="00237A10"/>
    <w:rPr>
      <w:rFonts w:eastAsia="Times New Roman"/>
      <w:sz w:val="20"/>
    </w:rPr>
  </w:style>
  <w:style w:type="paragraph" w:customStyle="1" w:styleId="PortfolioSubject">
    <w:name w:val="Portfolio_Subject"/>
    <w:basedOn w:val="Normal"/>
    <w:link w:val="PortfolioSubjectChar"/>
    <w:rsid w:val="00237A10"/>
    <w:pPr>
      <w:keepLines/>
      <w:spacing w:after="120" w:line="320" w:lineRule="exact"/>
    </w:pPr>
    <w:rPr>
      <w:rFonts w:eastAsia="Times New Roman"/>
      <w:b/>
      <w:color w:val="auto"/>
      <w:sz w:val="22"/>
      <w:lang w:eastAsia="en-US"/>
    </w:rPr>
  </w:style>
  <w:style w:type="character" w:customStyle="1" w:styleId="PortfolioSubjectChar">
    <w:name w:val="Portfolio_Subject Char"/>
    <w:link w:val="PortfolioSubject"/>
    <w:rsid w:val="00237A10"/>
    <w:rPr>
      <w:b/>
      <w:sz w:val="22"/>
      <w:lang w:val="en-AU" w:eastAsia="en-US" w:bidi="ar-SA"/>
    </w:rPr>
  </w:style>
  <w:style w:type="paragraph" w:styleId="CommentSubject">
    <w:name w:val="annotation subject"/>
    <w:basedOn w:val="CommentText"/>
    <w:next w:val="CommentText"/>
    <w:semiHidden/>
    <w:rsid w:val="009766C9"/>
    <w:rPr>
      <w:rFonts w:eastAsia="Calibri"/>
      <w:b/>
      <w:bCs/>
    </w:rPr>
  </w:style>
  <w:style w:type="character" w:styleId="Hyperlink">
    <w:name w:val="Hyperlink"/>
    <w:rsid w:val="00167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2284</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2675</CharactersWithSpaces>
  <SharedDoc>false</SharedDoc>
  <HyperlinkBase>https://www.cabinet.qld.gov.au/documents/2013/Jun/Justice Bill 2013/</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2014-01-29T00:48:00Z</cp:lastPrinted>
  <dcterms:created xsi:type="dcterms:W3CDTF">2017-10-25T00:52:00Z</dcterms:created>
  <dcterms:modified xsi:type="dcterms:W3CDTF">2018-03-06T01:19:00Z</dcterms:modified>
  <cp:category>Legislation,Justice,Courts,Right_to_Information,Domestic_Violence,Regulatory_Reform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-1632153107</vt:i4>
  </property>
  <property fmtid="{D5CDD505-2E9C-101B-9397-08002B2CF9AE}" pid="3" name="_NewReviewCycle">
    <vt:lpwstr/>
  </property>
  <property fmtid="{D5CDD505-2E9C-101B-9397-08002B2CF9AE}" pid="4" name="_PreviousAdHocReviewCycleID">
    <vt:i4>-731068445</vt:i4>
  </property>
  <property fmtid="{D5CDD505-2E9C-101B-9397-08002B2CF9AE}" pid="5" name="_ReviewingToolsShownOnce">
    <vt:lpwstr/>
  </property>
</Properties>
</file>